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9CE85" w14:textId="7A60DCE7" w:rsidR="00AB60B6" w:rsidRPr="00125F7D" w:rsidRDefault="00BE2F0B" w:rsidP="00784FFA">
      <w:pPr>
        <w:spacing w:after="100"/>
        <w:jc w:val="center"/>
        <w:rPr>
          <w:rFonts w:ascii="Times New Roman" w:hAnsi="Times New Roman" w:cs="Times New Roman"/>
          <w:u w:val="single"/>
        </w:rPr>
      </w:pPr>
      <w:r w:rsidRPr="00125F7D">
        <w:rPr>
          <w:rFonts w:ascii="Times New Roman" w:hAnsi="Times New Roman" w:cs="Times New Roman"/>
          <w:u w:val="single"/>
        </w:rPr>
        <w:t xml:space="preserve">United States Department of Education </w:t>
      </w:r>
      <w:r w:rsidR="00777CDA" w:rsidRPr="00125F7D">
        <w:rPr>
          <w:rFonts w:ascii="Times New Roman" w:hAnsi="Times New Roman" w:cs="Times New Roman"/>
          <w:u w:val="single"/>
        </w:rPr>
        <w:t>Impact Aid Funds and Single Audits</w:t>
      </w:r>
    </w:p>
    <w:p w14:paraId="1B67F42B" w14:textId="0C6637FC" w:rsidR="00171F5A" w:rsidRPr="00125F7D" w:rsidRDefault="00171F5A" w:rsidP="001A156E">
      <w:pPr>
        <w:spacing w:after="100"/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>When auditors issue audit findings on LEA Impact Aid funds, the United States Department of Education (Department) is responsible for issuing a management decision and resolving the audit</w:t>
      </w:r>
      <w:r w:rsidR="001A156E" w:rsidRPr="00125F7D">
        <w:rPr>
          <w:rFonts w:ascii="Times New Roman" w:hAnsi="Times New Roman" w:cs="Times New Roman"/>
        </w:rPr>
        <w:t xml:space="preserve"> findings</w:t>
      </w:r>
      <w:r w:rsidRPr="00125F7D">
        <w:rPr>
          <w:rFonts w:ascii="Times New Roman" w:hAnsi="Times New Roman" w:cs="Times New Roman"/>
        </w:rPr>
        <w:t>.  The Department has noticed that auditors are issuing findings that cannot be sustained as they are</w:t>
      </w:r>
      <w:r w:rsidR="001A156E" w:rsidRPr="00125F7D">
        <w:rPr>
          <w:rFonts w:ascii="Times New Roman" w:hAnsi="Times New Roman" w:cs="Times New Roman"/>
        </w:rPr>
        <w:t xml:space="preserve"> inconsistent with the Impact Aid requirements</w:t>
      </w:r>
      <w:r w:rsidR="00BE2F0B" w:rsidRPr="00125F7D">
        <w:rPr>
          <w:rFonts w:ascii="Times New Roman" w:hAnsi="Times New Roman" w:cs="Times New Roman"/>
        </w:rPr>
        <w:t>.</w:t>
      </w:r>
    </w:p>
    <w:p w14:paraId="79335269" w14:textId="3C47040B" w:rsidR="00784FFA" w:rsidRPr="00125F7D" w:rsidRDefault="00777CDA" w:rsidP="00784FFA">
      <w:pPr>
        <w:spacing w:after="100"/>
        <w:rPr>
          <w:rFonts w:ascii="Times New Roman" w:hAnsi="Times New Roman" w:cs="Times New Roman"/>
          <w:u w:val="single"/>
        </w:rPr>
      </w:pPr>
      <w:r w:rsidRPr="00125F7D">
        <w:rPr>
          <w:rFonts w:ascii="Times New Roman" w:hAnsi="Times New Roman" w:cs="Times New Roman"/>
          <w:u w:val="single"/>
        </w:rPr>
        <w:t>Audit requirements</w:t>
      </w:r>
    </w:p>
    <w:p w14:paraId="3DEA4CF7" w14:textId="2CD27CA7" w:rsidR="00777CDA" w:rsidRPr="00125F7D" w:rsidRDefault="00777CDA" w:rsidP="00784FFA">
      <w:pPr>
        <w:spacing w:after="100"/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>All non-federal government agencies</w:t>
      </w:r>
      <w:r w:rsidR="00B8218C" w:rsidRPr="00125F7D">
        <w:rPr>
          <w:rFonts w:ascii="Times New Roman" w:hAnsi="Times New Roman" w:cs="Times New Roman"/>
        </w:rPr>
        <w:t xml:space="preserve"> including LEAs</w:t>
      </w:r>
      <w:r w:rsidRPr="00125F7D">
        <w:rPr>
          <w:rFonts w:ascii="Times New Roman" w:hAnsi="Times New Roman" w:cs="Times New Roman"/>
        </w:rPr>
        <w:t xml:space="preserve"> that expend $750,000 or more in </w:t>
      </w:r>
      <w:r w:rsidR="00492EB0" w:rsidRPr="00125F7D">
        <w:rPr>
          <w:rFonts w:ascii="Times New Roman" w:hAnsi="Times New Roman" w:cs="Times New Roman"/>
        </w:rPr>
        <w:t>F</w:t>
      </w:r>
      <w:r w:rsidRPr="00125F7D">
        <w:rPr>
          <w:rFonts w:ascii="Times New Roman" w:hAnsi="Times New Roman" w:cs="Times New Roman"/>
        </w:rPr>
        <w:t>ederal awards in a given fiscal year are required to obtain a Single Audit</w:t>
      </w:r>
      <w:r w:rsidR="00B8218C" w:rsidRPr="00125F7D">
        <w:rPr>
          <w:rFonts w:ascii="Times New Roman" w:hAnsi="Times New Roman" w:cs="Times New Roman"/>
        </w:rPr>
        <w:t xml:space="preserve"> annually</w:t>
      </w:r>
      <w:r w:rsidRPr="00125F7D">
        <w:rPr>
          <w:rFonts w:ascii="Times New Roman" w:hAnsi="Times New Roman" w:cs="Times New Roman"/>
        </w:rPr>
        <w:t>.</w:t>
      </w:r>
      <w:r w:rsidR="00B8218C" w:rsidRPr="00125F7D">
        <w:rPr>
          <w:rStyle w:val="FootnoteReference"/>
          <w:rFonts w:ascii="Times New Roman" w:hAnsi="Times New Roman" w:cs="Times New Roman"/>
        </w:rPr>
        <w:footnoteReference w:id="1"/>
      </w:r>
    </w:p>
    <w:p w14:paraId="60977586" w14:textId="0B6167F9" w:rsidR="00BA3E2C" w:rsidRPr="00125F7D" w:rsidRDefault="006A459D" w:rsidP="00BA3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>Audits must:</w:t>
      </w:r>
    </w:p>
    <w:p w14:paraId="2D846EB2" w14:textId="45B508EC" w:rsidR="006A459D" w:rsidRPr="00125F7D" w:rsidRDefault="001A156E" w:rsidP="00784F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 xml:space="preserve">Issue audits that </w:t>
      </w:r>
      <w:r w:rsidR="006A459D" w:rsidRPr="00125F7D">
        <w:rPr>
          <w:rFonts w:ascii="Times New Roman" w:hAnsi="Times New Roman" w:cs="Times New Roman"/>
        </w:rPr>
        <w:t>conform with generally accepted government auditing standards</w:t>
      </w:r>
      <w:r w:rsidR="0038320E" w:rsidRPr="00125F7D">
        <w:rPr>
          <w:rFonts w:ascii="Times New Roman" w:hAnsi="Times New Roman" w:cs="Times New Roman"/>
        </w:rPr>
        <w:t>;</w:t>
      </w:r>
      <w:r w:rsidR="006A459D" w:rsidRPr="00125F7D">
        <w:rPr>
          <w:rStyle w:val="FootnoteReference"/>
          <w:rFonts w:ascii="Times New Roman" w:hAnsi="Times New Roman" w:cs="Times New Roman"/>
        </w:rPr>
        <w:footnoteReference w:id="2"/>
      </w:r>
    </w:p>
    <w:p w14:paraId="4C977469" w14:textId="1EC5D9ED" w:rsidR="006A459D" w:rsidRPr="00125F7D" w:rsidRDefault="001A156E" w:rsidP="00784F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>D</w:t>
      </w:r>
      <w:r w:rsidR="006A459D" w:rsidRPr="00125F7D">
        <w:rPr>
          <w:rFonts w:ascii="Times New Roman" w:hAnsi="Times New Roman" w:cs="Times New Roman"/>
        </w:rPr>
        <w:t>etermine if financial statements</w:t>
      </w:r>
      <w:r w:rsidR="00B8218C" w:rsidRPr="00125F7D">
        <w:rPr>
          <w:rFonts w:ascii="Times New Roman" w:hAnsi="Times New Roman" w:cs="Times New Roman"/>
        </w:rPr>
        <w:t xml:space="preserve"> are </w:t>
      </w:r>
      <w:r w:rsidR="00784FFA" w:rsidRPr="00125F7D">
        <w:rPr>
          <w:rFonts w:ascii="Times New Roman" w:hAnsi="Times New Roman" w:cs="Times New Roman"/>
        </w:rPr>
        <w:t>consistent</w:t>
      </w:r>
      <w:r w:rsidR="006A459D" w:rsidRPr="00125F7D">
        <w:rPr>
          <w:rFonts w:ascii="Times New Roman" w:hAnsi="Times New Roman" w:cs="Times New Roman"/>
          <w:color w:val="000000"/>
          <w:shd w:val="clear" w:color="auto" w:fill="FFFFFF"/>
        </w:rPr>
        <w:t xml:space="preserve"> with generally accepted accounting </w:t>
      </w:r>
      <w:proofErr w:type="gramStart"/>
      <w:r w:rsidR="006A459D" w:rsidRPr="00125F7D">
        <w:rPr>
          <w:rFonts w:ascii="Times New Roman" w:hAnsi="Times New Roman" w:cs="Times New Roman"/>
          <w:color w:val="000000"/>
          <w:shd w:val="clear" w:color="auto" w:fill="FFFFFF"/>
        </w:rPr>
        <w:t>principles</w:t>
      </w:r>
      <w:r w:rsidR="0038320E" w:rsidRPr="00125F7D">
        <w:rPr>
          <w:rFonts w:ascii="Times New Roman" w:hAnsi="Times New Roman" w:cs="Times New Roman"/>
          <w:color w:val="000000"/>
          <w:shd w:val="clear" w:color="auto" w:fill="FFFFFF"/>
        </w:rPr>
        <w:t>;</w:t>
      </w:r>
      <w:proofErr w:type="gramEnd"/>
    </w:p>
    <w:p w14:paraId="6959C080" w14:textId="087E0CFD" w:rsidR="00B8218C" w:rsidRPr="00125F7D" w:rsidRDefault="001A156E" w:rsidP="00784F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B8218C" w:rsidRPr="00125F7D">
        <w:rPr>
          <w:rFonts w:ascii="Times New Roman" w:hAnsi="Times New Roman" w:cs="Times New Roman"/>
          <w:color w:val="000000"/>
          <w:shd w:val="clear" w:color="auto" w:fill="FFFFFF"/>
        </w:rPr>
        <w:t>xamine internal controls of the LEA</w:t>
      </w:r>
      <w:r w:rsidR="0038320E" w:rsidRPr="00125F7D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BE141C" w:rsidRPr="00125F7D">
        <w:rPr>
          <w:rStyle w:val="FootnoteReference"/>
          <w:rFonts w:ascii="Times New Roman" w:hAnsi="Times New Roman" w:cs="Times New Roman"/>
          <w:color w:val="000000"/>
          <w:shd w:val="clear" w:color="auto" w:fill="FFFFFF"/>
        </w:rPr>
        <w:footnoteReference w:id="3"/>
      </w:r>
      <w:r w:rsidR="0038320E" w:rsidRPr="00125F7D">
        <w:rPr>
          <w:rFonts w:ascii="Times New Roman" w:hAnsi="Times New Roman" w:cs="Times New Roman"/>
          <w:color w:val="000000"/>
          <w:shd w:val="clear" w:color="auto" w:fill="FFFFFF"/>
        </w:rPr>
        <w:t xml:space="preserve"> and</w:t>
      </w:r>
    </w:p>
    <w:p w14:paraId="333ADEF8" w14:textId="18A7B4D9" w:rsidR="00B8218C" w:rsidRPr="00125F7D" w:rsidRDefault="001A156E" w:rsidP="00784F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B8218C" w:rsidRPr="00125F7D">
        <w:rPr>
          <w:rFonts w:ascii="Times New Roman" w:hAnsi="Times New Roman" w:cs="Times New Roman"/>
          <w:color w:val="000000"/>
          <w:shd w:val="clear" w:color="auto" w:fill="FFFFFF"/>
        </w:rPr>
        <w:t>etermine whether the auditee has complied with Federal statutes, regulations, and the terms and conditions of Federal awards</w:t>
      </w:r>
      <w:r w:rsidR="0038320E" w:rsidRPr="00125F7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8218C" w:rsidRPr="00125F7D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63D22DB9" w14:textId="04755A1C" w:rsidR="0098670F" w:rsidRPr="00125F7D" w:rsidRDefault="00BE141C" w:rsidP="001A156E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  <w:color w:val="000000"/>
          <w:shd w:val="clear" w:color="auto" w:fill="FFFFFF"/>
        </w:rPr>
        <w:t xml:space="preserve">Each Federal Agency contributes to the compliance supplement.  Information on the compliance supplement and the single audit can be found on the Department of Education’s Office of Inspector General’s website </w:t>
      </w:r>
      <w:hyperlink r:id="rId8" w:history="1">
        <w:r w:rsidRPr="00125F7D">
          <w:rPr>
            <w:rStyle w:val="Hyperlink"/>
            <w:rFonts w:ascii="Times New Roman" w:hAnsi="Times New Roman" w:cs="Times New Roman"/>
          </w:rPr>
          <w:t>https://www2.ed.gov/about/offices/list/oig/nonfed/singleaudits.html</w:t>
        </w:r>
      </w:hyperlink>
      <w:r w:rsidR="0038320E" w:rsidRPr="00125F7D">
        <w:rPr>
          <w:rStyle w:val="Hyperlink"/>
          <w:rFonts w:ascii="Times New Roman" w:hAnsi="Times New Roman" w:cs="Times New Roman"/>
        </w:rPr>
        <w:t>.</w:t>
      </w:r>
      <w:r w:rsidRPr="00125F7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7DDFF2A" w14:textId="7214D660" w:rsidR="005C374F" w:rsidRPr="00125F7D" w:rsidRDefault="00B8218C" w:rsidP="001A156E">
      <w:pPr>
        <w:spacing w:after="100"/>
        <w:rPr>
          <w:rFonts w:ascii="Times New Roman" w:hAnsi="Times New Roman" w:cs="Times New Roman"/>
          <w:u w:val="single"/>
        </w:rPr>
      </w:pPr>
      <w:r w:rsidRPr="00125F7D">
        <w:rPr>
          <w:rFonts w:ascii="Times New Roman" w:hAnsi="Times New Roman" w:cs="Times New Roman"/>
          <w:u w:val="single"/>
        </w:rPr>
        <w:t>Impact Aid requirements</w:t>
      </w:r>
      <w:r w:rsidR="005C374F" w:rsidRPr="00125F7D">
        <w:rPr>
          <w:rStyle w:val="FootnoteReference"/>
          <w:rFonts w:ascii="Times New Roman" w:hAnsi="Times New Roman" w:cs="Times New Roman"/>
          <w:u w:val="single"/>
        </w:rPr>
        <w:footnoteReference w:id="4"/>
      </w:r>
    </w:p>
    <w:p w14:paraId="2E87313E" w14:textId="47823A6D" w:rsidR="0098670F" w:rsidRPr="00125F7D" w:rsidRDefault="00BA3E2C" w:rsidP="00986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</w:rPr>
        <w:t>Most Impact Aid funds</w:t>
      </w:r>
      <w:r w:rsidR="0098670F" w:rsidRPr="00125F7D">
        <w:rPr>
          <w:rFonts w:ascii="Times New Roman" w:hAnsi="Times New Roman" w:cs="Times New Roman"/>
        </w:rPr>
        <w:t xml:space="preserve"> (Section 7002 and 7003(b) funds)</w:t>
      </w:r>
      <w:r w:rsidRPr="00125F7D">
        <w:rPr>
          <w:rFonts w:ascii="Times New Roman" w:hAnsi="Times New Roman" w:cs="Times New Roman"/>
        </w:rPr>
        <w:t>, except for the additional payments for children with disabilities</w:t>
      </w:r>
      <w:r w:rsidR="0098670F" w:rsidRPr="00125F7D">
        <w:rPr>
          <w:rFonts w:ascii="Times New Roman" w:hAnsi="Times New Roman" w:cs="Times New Roman"/>
        </w:rPr>
        <w:t xml:space="preserve"> (Section 7003(d))</w:t>
      </w:r>
      <w:r w:rsidRPr="00125F7D">
        <w:rPr>
          <w:rFonts w:ascii="Times New Roman" w:hAnsi="Times New Roman" w:cs="Times New Roman"/>
        </w:rPr>
        <w:t xml:space="preserve"> and construction payments</w:t>
      </w:r>
      <w:r w:rsidR="0098670F" w:rsidRPr="00125F7D">
        <w:rPr>
          <w:rFonts w:ascii="Times New Roman" w:hAnsi="Times New Roman" w:cs="Times New Roman"/>
        </w:rPr>
        <w:t xml:space="preserve"> (Section 7007)</w:t>
      </w:r>
      <w:r w:rsidRPr="00125F7D">
        <w:rPr>
          <w:rFonts w:ascii="Times New Roman" w:hAnsi="Times New Roman" w:cs="Times New Roman"/>
        </w:rPr>
        <w:t>, are considered general aid to the recipient school districts.</w:t>
      </w:r>
      <w:r w:rsidR="00A44685" w:rsidRPr="00125F7D">
        <w:rPr>
          <w:rStyle w:val="FootnoteReference"/>
          <w:rFonts w:ascii="Times New Roman" w:hAnsi="Times New Roman" w:cs="Times New Roman"/>
        </w:rPr>
        <w:footnoteReference w:id="5"/>
      </w:r>
    </w:p>
    <w:p w14:paraId="4A0DD008" w14:textId="32CE831B" w:rsidR="00BA3E2C" w:rsidRPr="00125F7D" w:rsidRDefault="00BA3E2C" w:rsidP="001A156E">
      <w:pPr>
        <w:pStyle w:val="ListParagraph"/>
        <w:numPr>
          <w:ilvl w:val="0"/>
          <w:numId w:val="2"/>
        </w:numPr>
        <w:spacing w:after="100"/>
        <w:rPr>
          <w:rFonts w:ascii="Times New Roman" w:hAnsi="Times New Roman" w:cs="Times New Roman"/>
        </w:rPr>
      </w:pPr>
      <w:r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Districts may use the </w:t>
      </w:r>
      <w:r w:rsidR="009269E1"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general aid </w:t>
      </w:r>
      <w:r w:rsidRPr="00125F7D">
        <w:rPr>
          <w:rFonts w:ascii="Times New Roman" w:hAnsi="Times New Roman" w:cs="Times New Roman"/>
          <w:color w:val="4B4E53"/>
          <w:shd w:val="clear" w:color="auto" w:fill="FFFFFF"/>
        </w:rPr>
        <w:t>funds</w:t>
      </w:r>
      <w:r w:rsidR="0098670F"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 </w:t>
      </w:r>
      <w:r w:rsidR="0098670F" w:rsidRPr="00125F7D">
        <w:rPr>
          <w:rFonts w:ascii="Times New Roman" w:hAnsi="Times New Roman" w:cs="Times New Roman"/>
        </w:rPr>
        <w:t>(Section 7002 and 7003(b) funds)</w:t>
      </w:r>
      <w:r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 in whatever manner they choose </w:t>
      </w:r>
      <w:r w:rsidR="00784FFA" w:rsidRPr="00125F7D">
        <w:rPr>
          <w:rFonts w:ascii="Times New Roman" w:hAnsi="Times New Roman" w:cs="Times New Roman"/>
          <w:color w:val="4B4E53"/>
          <w:shd w:val="clear" w:color="auto" w:fill="FFFFFF"/>
        </w:rPr>
        <w:t>consistent</w:t>
      </w:r>
      <w:r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 with their requirements</w:t>
      </w:r>
      <w:r w:rsidR="00784FFA" w:rsidRPr="00125F7D">
        <w:rPr>
          <w:rFonts w:ascii="Times New Roman" w:hAnsi="Times New Roman" w:cs="Times New Roman"/>
          <w:color w:val="4B4E53"/>
          <w:shd w:val="clear" w:color="auto" w:fill="FFFFFF"/>
        </w:rPr>
        <w:t xml:space="preserve"> for State and local funds</w:t>
      </w:r>
      <w:r w:rsidR="0098670F" w:rsidRPr="00125F7D">
        <w:rPr>
          <w:rFonts w:ascii="Times New Roman" w:hAnsi="Times New Roman" w:cs="Times New Roman"/>
          <w:color w:val="4B4E53"/>
          <w:shd w:val="clear" w:color="auto" w:fill="FFFFFF"/>
        </w:rPr>
        <w:t>.</w:t>
      </w:r>
    </w:p>
    <w:p w14:paraId="7E8EAE75" w14:textId="7107919C" w:rsidR="009269E1" w:rsidRPr="00125F7D" w:rsidRDefault="00125F7D" w:rsidP="00BE2F0B">
      <w:pPr>
        <w:spacing w:after="100"/>
        <w:jc w:val="center"/>
        <w:rPr>
          <w:rFonts w:ascii="Times New Roman" w:hAnsi="Times New Roman" w:cs="Times New Roman"/>
          <w:u w:val="single"/>
        </w:rPr>
      </w:pPr>
      <w:r w:rsidRPr="00125F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3B39554" wp14:editId="1CA26747">
            <wp:simplePos x="0" y="0"/>
            <wp:positionH relativeFrom="margin">
              <wp:posOffset>6127750</wp:posOffset>
            </wp:positionH>
            <wp:positionV relativeFrom="paragraph">
              <wp:posOffset>4263390</wp:posOffset>
            </wp:positionV>
            <wp:extent cx="641350" cy="641350"/>
            <wp:effectExtent l="0" t="0" r="6350" b="635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al_of_the_United_States_Department_of_Education.svg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5" w:rsidRPr="00125F7D">
        <w:rPr>
          <w:rFonts w:ascii="Times New Roman" w:hAnsi="Times New Roman" w:cs="Times New Roman"/>
          <w:u w:val="single"/>
        </w:rPr>
        <w:t>Impact Aid audit testing</w:t>
      </w:r>
      <w:r w:rsidR="00784FFA" w:rsidRPr="00125F7D">
        <w:rPr>
          <w:rFonts w:ascii="Times New Roman" w:hAnsi="Times New Roman" w:cs="Times New Roman"/>
          <w:u w:val="single"/>
        </w:rPr>
        <w:t xml:space="preserve">.  </w:t>
      </w:r>
      <w:r w:rsidR="009269E1" w:rsidRPr="00125F7D">
        <w:rPr>
          <w:rFonts w:ascii="Times New Roman" w:hAnsi="Times New Roman" w:cs="Times New Roman"/>
          <w:u w:val="single"/>
        </w:rPr>
        <w:t>The following chart is based on the Department</w:t>
      </w:r>
      <w:r w:rsidR="00171F5A" w:rsidRPr="00125F7D">
        <w:rPr>
          <w:rFonts w:ascii="Times New Roman" w:hAnsi="Times New Roman" w:cs="Times New Roman"/>
          <w:u w:val="single"/>
        </w:rPr>
        <w:t>’s</w:t>
      </w:r>
      <w:r w:rsidR="009269E1" w:rsidRPr="00125F7D">
        <w:rPr>
          <w:rFonts w:ascii="Times New Roman" w:hAnsi="Times New Roman" w:cs="Times New Roman"/>
          <w:u w:val="single"/>
        </w:rPr>
        <w:t xml:space="preserve"> Compliance Supplement</w:t>
      </w:r>
    </w:p>
    <w:tbl>
      <w:tblPr>
        <w:tblStyle w:val="TableGrid"/>
        <w:tblW w:w="10616" w:type="dxa"/>
        <w:tblLook w:val="04A0" w:firstRow="1" w:lastRow="0" w:firstColumn="1" w:lastColumn="0" w:noHBand="0" w:noVBand="1"/>
      </w:tblPr>
      <w:tblGrid>
        <w:gridCol w:w="2515"/>
        <w:gridCol w:w="2610"/>
        <w:gridCol w:w="2837"/>
        <w:gridCol w:w="2654"/>
      </w:tblGrid>
      <w:tr w:rsidR="009269E1" w:rsidRPr="00125F7D" w14:paraId="75CEFD19" w14:textId="77777777" w:rsidTr="00BE2F0B">
        <w:trPr>
          <w:trHeight w:val="511"/>
        </w:trPr>
        <w:tc>
          <w:tcPr>
            <w:tcW w:w="2515" w:type="dxa"/>
          </w:tcPr>
          <w:p w14:paraId="65CBBEE7" w14:textId="589A05BA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Compliance Requirement</w:t>
            </w:r>
          </w:p>
        </w:tc>
        <w:tc>
          <w:tcPr>
            <w:tcW w:w="2610" w:type="dxa"/>
          </w:tcPr>
          <w:p w14:paraId="546794E9" w14:textId="3FCBFF1B" w:rsidR="009269E1" w:rsidRPr="00125F7D" w:rsidRDefault="009269E1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General Aid (Section 7002 and 7003(b))</w:t>
            </w:r>
          </w:p>
        </w:tc>
        <w:tc>
          <w:tcPr>
            <w:tcW w:w="2837" w:type="dxa"/>
          </w:tcPr>
          <w:p w14:paraId="24C88530" w14:textId="7183F286" w:rsidR="009269E1" w:rsidRPr="00125F7D" w:rsidRDefault="009269E1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Aid for Children with Disabilities (7003(d)</w:t>
            </w:r>
            <w:r w:rsidR="00D36371" w:rsidRPr="00125F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4" w:type="dxa"/>
          </w:tcPr>
          <w:p w14:paraId="3BAA5469" w14:textId="71A586DF" w:rsidR="009269E1" w:rsidRPr="00125F7D" w:rsidRDefault="009269E1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Construction (7007)</w:t>
            </w:r>
          </w:p>
        </w:tc>
      </w:tr>
      <w:tr w:rsidR="009269E1" w:rsidRPr="00125F7D" w14:paraId="44CD1F74" w14:textId="77777777" w:rsidTr="00BE2F0B">
        <w:trPr>
          <w:trHeight w:val="511"/>
        </w:trPr>
        <w:tc>
          <w:tcPr>
            <w:tcW w:w="2515" w:type="dxa"/>
          </w:tcPr>
          <w:p w14:paraId="20D09BB3" w14:textId="5B1CE90A" w:rsidR="009269E1" w:rsidRPr="00125F7D" w:rsidRDefault="009269E1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Allowable activities</w:t>
            </w:r>
          </w:p>
        </w:tc>
        <w:tc>
          <w:tcPr>
            <w:tcW w:w="2610" w:type="dxa"/>
          </w:tcPr>
          <w:p w14:paraId="7DF1DFFD" w14:textId="3AB4B2A4" w:rsidR="009269E1" w:rsidRPr="00125F7D" w:rsidRDefault="009269E1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No testing needed</w:t>
            </w:r>
            <w:r w:rsidR="00A44685" w:rsidRPr="00125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</w:tcPr>
          <w:p w14:paraId="432AF56E" w14:textId="4BCDBEFB" w:rsidR="009269E1" w:rsidRPr="00125F7D" w:rsidRDefault="001A156E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Test</w:t>
            </w:r>
            <w:r w:rsidR="009269E1" w:rsidRPr="00125F7D">
              <w:rPr>
                <w:rFonts w:ascii="Times New Roman" w:hAnsi="Times New Roman" w:cs="Times New Roman"/>
              </w:rPr>
              <w:t xml:space="preserve"> to ensure funds are used for children with disabilities</w:t>
            </w:r>
            <w:r w:rsidR="00A44685" w:rsidRPr="00125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4" w:type="dxa"/>
          </w:tcPr>
          <w:p w14:paraId="62165500" w14:textId="6169FBF2" w:rsidR="009269E1" w:rsidRPr="00125F7D" w:rsidRDefault="001A156E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Test</w:t>
            </w:r>
            <w:r w:rsidR="00A44685" w:rsidRPr="00125F7D">
              <w:rPr>
                <w:rFonts w:ascii="Times New Roman" w:hAnsi="Times New Roman" w:cs="Times New Roman"/>
              </w:rPr>
              <w:t xml:space="preserve"> to ensure funds are used for schools and not auxiliary buildings.</w:t>
            </w:r>
          </w:p>
        </w:tc>
      </w:tr>
      <w:tr w:rsidR="009269E1" w:rsidRPr="00125F7D" w14:paraId="2EE3C834" w14:textId="77777777" w:rsidTr="00BE2F0B">
        <w:trPr>
          <w:trHeight w:val="511"/>
        </w:trPr>
        <w:tc>
          <w:tcPr>
            <w:tcW w:w="2515" w:type="dxa"/>
          </w:tcPr>
          <w:p w14:paraId="0C3C90BE" w14:textId="17A747E4" w:rsidR="009269E1" w:rsidRPr="00125F7D" w:rsidRDefault="00A44685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Procurement procedures and allowable costs (</w:t>
            </w:r>
            <w:r w:rsidR="00784FFA" w:rsidRPr="00125F7D">
              <w:rPr>
                <w:rFonts w:ascii="Times New Roman" w:hAnsi="Times New Roman" w:cs="Times New Roman"/>
              </w:rPr>
              <w:t>e.g.</w:t>
            </w:r>
            <w:r w:rsidRPr="00125F7D">
              <w:rPr>
                <w:rFonts w:ascii="Times New Roman" w:hAnsi="Times New Roman" w:cs="Times New Roman"/>
              </w:rPr>
              <w:t xml:space="preserve"> Uniform Guidance</w:t>
            </w:r>
            <w:r w:rsidR="00784FFA" w:rsidRPr="00125F7D">
              <w:rPr>
                <w:rFonts w:ascii="Times New Roman" w:hAnsi="Times New Roman" w:cs="Times New Roman"/>
              </w:rPr>
              <w:t>)</w:t>
            </w:r>
            <w:r w:rsidRPr="00125F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</w:tcPr>
          <w:p w14:paraId="0A897635" w14:textId="6F6A043D" w:rsidR="009269E1" w:rsidRPr="00125F7D" w:rsidRDefault="00A44685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No testing needed</w:t>
            </w:r>
            <w:r w:rsidR="00583F52" w:rsidRPr="00125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</w:tcPr>
          <w:p w14:paraId="56889709" w14:textId="5131869B" w:rsidR="009269E1" w:rsidRPr="00125F7D" w:rsidRDefault="00A44685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No testing needed</w:t>
            </w:r>
            <w:r w:rsidR="00583F52" w:rsidRPr="00125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4" w:type="dxa"/>
          </w:tcPr>
          <w:p w14:paraId="51170E8F" w14:textId="2F7D41F4" w:rsidR="009269E1" w:rsidRPr="00125F7D" w:rsidRDefault="001A156E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Test as U</w:t>
            </w:r>
            <w:r w:rsidR="00583F52" w:rsidRPr="00125F7D">
              <w:rPr>
                <w:rFonts w:ascii="Times New Roman" w:hAnsi="Times New Roman" w:cs="Times New Roman"/>
              </w:rPr>
              <w:t xml:space="preserve">niform </w:t>
            </w:r>
            <w:r w:rsidRPr="00125F7D">
              <w:rPr>
                <w:rFonts w:ascii="Times New Roman" w:hAnsi="Times New Roman" w:cs="Times New Roman"/>
              </w:rPr>
              <w:t>G</w:t>
            </w:r>
            <w:r w:rsidR="00583F52" w:rsidRPr="00125F7D">
              <w:rPr>
                <w:rFonts w:ascii="Times New Roman" w:hAnsi="Times New Roman" w:cs="Times New Roman"/>
              </w:rPr>
              <w:t xml:space="preserve">uidance applies to </w:t>
            </w:r>
            <w:r w:rsidRPr="00125F7D">
              <w:rPr>
                <w:rFonts w:ascii="Times New Roman" w:hAnsi="Times New Roman" w:cs="Times New Roman"/>
              </w:rPr>
              <w:t>c</w:t>
            </w:r>
            <w:r w:rsidR="00583F52" w:rsidRPr="00125F7D">
              <w:rPr>
                <w:rFonts w:ascii="Times New Roman" w:hAnsi="Times New Roman" w:cs="Times New Roman"/>
              </w:rPr>
              <w:t xml:space="preserve">onstruction </w:t>
            </w:r>
            <w:r w:rsidRPr="00125F7D">
              <w:rPr>
                <w:rFonts w:ascii="Times New Roman" w:hAnsi="Times New Roman" w:cs="Times New Roman"/>
              </w:rPr>
              <w:t>funds</w:t>
            </w:r>
            <w:r w:rsidR="00583F52" w:rsidRPr="00125F7D">
              <w:rPr>
                <w:rFonts w:ascii="Times New Roman" w:hAnsi="Times New Roman" w:cs="Times New Roman"/>
              </w:rPr>
              <w:t>.</w:t>
            </w:r>
          </w:p>
        </w:tc>
      </w:tr>
      <w:tr w:rsidR="009269E1" w:rsidRPr="00125F7D" w14:paraId="0E5A8A23" w14:textId="77777777" w:rsidTr="00BE2F0B">
        <w:trPr>
          <w:trHeight w:val="492"/>
        </w:trPr>
        <w:tc>
          <w:tcPr>
            <w:tcW w:w="2515" w:type="dxa"/>
          </w:tcPr>
          <w:p w14:paraId="73844370" w14:textId="6F71C203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Level of Effort</w:t>
            </w:r>
          </w:p>
        </w:tc>
        <w:tc>
          <w:tcPr>
            <w:tcW w:w="2610" w:type="dxa"/>
          </w:tcPr>
          <w:p w14:paraId="341C03A5" w14:textId="123761EA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No testing needed.</w:t>
            </w:r>
          </w:p>
        </w:tc>
        <w:tc>
          <w:tcPr>
            <w:tcW w:w="2837" w:type="dxa"/>
          </w:tcPr>
          <w:p w14:paraId="31C49068" w14:textId="14734607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 xml:space="preserve">Supplement </w:t>
            </w:r>
            <w:proofErr w:type="gramStart"/>
            <w:r w:rsidRPr="00125F7D">
              <w:rPr>
                <w:rFonts w:ascii="Times New Roman" w:hAnsi="Times New Roman" w:cs="Times New Roman"/>
              </w:rPr>
              <w:t>not supplant</w:t>
            </w:r>
            <w:proofErr w:type="gramEnd"/>
            <w:r w:rsidRPr="00125F7D">
              <w:rPr>
                <w:rFonts w:ascii="Times New Roman" w:hAnsi="Times New Roman" w:cs="Times New Roman"/>
              </w:rPr>
              <w:t xml:space="preserve"> requirements apply.</w:t>
            </w:r>
          </w:p>
        </w:tc>
        <w:tc>
          <w:tcPr>
            <w:tcW w:w="2654" w:type="dxa"/>
          </w:tcPr>
          <w:p w14:paraId="5CE4B9D9" w14:textId="000FA95B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 xml:space="preserve">Supplement </w:t>
            </w:r>
            <w:proofErr w:type="gramStart"/>
            <w:r w:rsidRPr="00125F7D">
              <w:rPr>
                <w:rFonts w:ascii="Times New Roman" w:hAnsi="Times New Roman" w:cs="Times New Roman"/>
              </w:rPr>
              <w:t>not supplant</w:t>
            </w:r>
            <w:proofErr w:type="gramEnd"/>
            <w:r w:rsidRPr="00125F7D">
              <w:rPr>
                <w:rFonts w:ascii="Times New Roman" w:hAnsi="Times New Roman" w:cs="Times New Roman"/>
              </w:rPr>
              <w:t xml:space="preserve"> requirements apply.</w:t>
            </w:r>
          </w:p>
        </w:tc>
      </w:tr>
      <w:tr w:rsidR="009269E1" w:rsidRPr="00125F7D" w14:paraId="66EB50FC" w14:textId="77777777" w:rsidTr="00BE2F0B">
        <w:trPr>
          <w:trHeight w:val="511"/>
        </w:trPr>
        <w:tc>
          <w:tcPr>
            <w:tcW w:w="2515" w:type="dxa"/>
          </w:tcPr>
          <w:p w14:paraId="42721218" w14:textId="6B3A5EB2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Reporting</w:t>
            </w:r>
          </w:p>
        </w:tc>
        <w:tc>
          <w:tcPr>
            <w:tcW w:w="2610" w:type="dxa"/>
          </w:tcPr>
          <w:p w14:paraId="2D2CF118" w14:textId="5D17D908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Test whether the number of Federally affected children reported in the LEA application is accurate.</w:t>
            </w:r>
          </w:p>
        </w:tc>
        <w:tc>
          <w:tcPr>
            <w:tcW w:w="2837" w:type="dxa"/>
          </w:tcPr>
          <w:p w14:paraId="3029FF69" w14:textId="395F2B99" w:rsidR="009269E1" w:rsidRPr="00125F7D" w:rsidRDefault="00784FFA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Using the procedures outlined in the Compliance Supplement t</w:t>
            </w:r>
            <w:r w:rsidR="00583F52" w:rsidRPr="00125F7D">
              <w:rPr>
                <w:rFonts w:ascii="Times New Roman" w:hAnsi="Times New Roman" w:cs="Times New Roman"/>
              </w:rPr>
              <w:t>est whether the number of Federally affected children reported in the LEA application is accurate.</w:t>
            </w:r>
          </w:p>
        </w:tc>
        <w:tc>
          <w:tcPr>
            <w:tcW w:w="2654" w:type="dxa"/>
          </w:tcPr>
          <w:p w14:paraId="563822E1" w14:textId="0BA17A19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No testing needed.</w:t>
            </w:r>
          </w:p>
        </w:tc>
      </w:tr>
      <w:tr w:rsidR="009269E1" w:rsidRPr="00125F7D" w14:paraId="580A6C8C" w14:textId="77777777" w:rsidTr="00BE2F0B">
        <w:trPr>
          <w:trHeight w:val="511"/>
        </w:trPr>
        <w:tc>
          <w:tcPr>
            <w:tcW w:w="2515" w:type="dxa"/>
          </w:tcPr>
          <w:p w14:paraId="6C8ECCB4" w14:textId="7D1461FA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Special Tests</w:t>
            </w:r>
          </w:p>
        </w:tc>
        <w:tc>
          <w:tcPr>
            <w:tcW w:w="2610" w:type="dxa"/>
          </w:tcPr>
          <w:p w14:paraId="3D500A94" w14:textId="41EA01A8" w:rsidR="009269E1" w:rsidRPr="00125F7D" w:rsidRDefault="00583F52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 xml:space="preserve">If funds are used for construction, </w:t>
            </w:r>
            <w:r w:rsidR="0038320E" w:rsidRPr="00125F7D">
              <w:rPr>
                <w:rFonts w:ascii="Times New Roman" w:hAnsi="Times New Roman" w:cs="Times New Roman"/>
              </w:rPr>
              <w:t>test</w:t>
            </w:r>
            <w:r w:rsidRPr="00125F7D">
              <w:rPr>
                <w:rFonts w:ascii="Times New Roman" w:hAnsi="Times New Roman" w:cs="Times New Roman"/>
              </w:rPr>
              <w:t xml:space="preserve"> that prevailing wage requirements are implemented.</w:t>
            </w:r>
          </w:p>
        </w:tc>
        <w:tc>
          <w:tcPr>
            <w:tcW w:w="2837" w:type="dxa"/>
          </w:tcPr>
          <w:p w14:paraId="42B2ACE7" w14:textId="1BB04690" w:rsidR="009269E1" w:rsidRPr="00125F7D" w:rsidRDefault="0038320E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 xml:space="preserve">Test </w:t>
            </w:r>
            <w:r w:rsidR="00D36371" w:rsidRPr="00125F7D">
              <w:rPr>
                <w:rFonts w:ascii="Times New Roman" w:hAnsi="Times New Roman" w:cs="Times New Roman"/>
              </w:rPr>
              <w:t>that LEA did not receive an overpayment of Impact Aid funds connected with educating children with disabilities.</w:t>
            </w:r>
          </w:p>
        </w:tc>
        <w:tc>
          <w:tcPr>
            <w:tcW w:w="2654" w:type="dxa"/>
          </w:tcPr>
          <w:p w14:paraId="5B9FEB4A" w14:textId="1CC01789" w:rsidR="009269E1" w:rsidRPr="00125F7D" w:rsidRDefault="0038320E" w:rsidP="0098670F">
            <w:pPr>
              <w:rPr>
                <w:rFonts w:ascii="Times New Roman" w:hAnsi="Times New Roman" w:cs="Times New Roman"/>
              </w:rPr>
            </w:pPr>
            <w:r w:rsidRPr="00125F7D">
              <w:rPr>
                <w:rFonts w:ascii="Times New Roman" w:hAnsi="Times New Roman" w:cs="Times New Roman"/>
              </w:rPr>
              <w:t>Test</w:t>
            </w:r>
            <w:r w:rsidR="00583F52" w:rsidRPr="00125F7D">
              <w:rPr>
                <w:rFonts w:ascii="Times New Roman" w:hAnsi="Times New Roman" w:cs="Times New Roman"/>
              </w:rPr>
              <w:t xml:space="preserve"> that prevailing wage requirements are implemented.</w:t>
            </w:r>
          </w:p>
        </w:tc>
      </w:tr>
    </w:tbl>
    <w:p w14:paraId="0EF2A930" w14:textId="36A941D5" w:rsidR="005C374F" w:rsidRPr="001A156E" w:rsidRDefault="005C374F" w:rsidP="00BE2F0B">
      <w:pPr>
        <w:rPr>
          <w:rFonts w:ascii="Times New Roman" w:hAnsi="Times New Roman" w:cs="Times New Roman"/>
        </w:rPr>
      </w:pPr>
    </w:p>
    <w:sectPr w:rsidR="005C374F" w:rsidRPr="001A156E" w:rsidSect="00926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9B1C1" w14:textId="77777777" w:rsidR="00E86D84" w:rsidRDefault="00E86D84" w:rsidP="006A459D">
      <w:pPr>
        <w:spacing w:after="0" w:line="240" w:lineRule="auto"/>
      </w:pPr>
      <w:r>
        <w:separator/>
      </w:r>
    </w:p>
  </w:endnote>
  <w:endnote w:type="continuationSeparator" w:id="0">
    <w:p w14:paraId="219B89DC" w14:textId="77777777" w:rsidR="00E86D84" w:rsidRDefault="00E86D84" w:rsidP="006A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29525" w14:textId="77777777" w:rsidR="00E86D84" w:rsidRDefault="00E86D84" w:rsidP="006A459D">
      <w:pPr>
        <w:spacing w:after="0" w:line="240" w:lineRule="auto"/>
      </w:pPr>
      <w:r>
        <w:separator/>
      </w:r>
    </w:p>
  </w:footnote>
  <w:footnote w:type="continuationSeparator" w:id="0">
    <w:p w14:paraId="75F80FC6" w14:textId="77777777" w:rsidR="00E86D84" w:rsidRDefault="00E86D84" w:rsidP="006A459D">
      <w:pPr>
        <w:spacing w:after="0" w:line="240" w:lineRule="auto"/>
      </w:pPr>
      <w:r>
        <w:continuationSeparator/>
      </w:r>
    </w:p>
  </w:footnote>
  <w:footnote w:id="1">
    <w:p w14:paraId="1708F31C" w14:textId="7CC2D675" w:rsidR="00B8218C" w:rsidRPr="00D36371" w:rsidRDefault="00B8218C">
      <w:pPr>
        <w:pStyle w:val="FootnoteText"/>
        <w:rPr>
          <w:rFonts w:ascii="Times New Roman" w:hAnsi="Times New Roman" w:cs="Times New Roman"/>
        </w:rPr>
      </w:pPr>
      <w:r w:rsidRPr="00D36371">
        <w:rPr>
          <w:rStyle w:val="FootnoteReference"/>
          <w:rFonts w:ascii="Times New Roman" w:hAnsi="Times New Roman" w:cs="Times New Roman"/>
        </w:rPr>
        <w:footnoteRef/>
      </w:r>
      <w:r w:rsidRPr="00D36371">
        <w:rPr>
          <w:rFonts w:ascii="Times New Roman" w:hAnsi="Times New Roman" w:cs="Times New Roman"/>
        </w:rPr>
        <w:t xml:space="preserve"> Under limited exceptions, some LEAs may be audited every two years  </w:t>
      </w:r>
    </w:p>
  </w:footnote>
  <w:footnote w:id="2">
    <w:p w14:paraId="4D632B13" w14:textId="73A0D972" w:rsidR="006A459D" w:rsidRPr="00D36371" w:rsidRDefault="006A459D" w:rsidP="006A459D">
      <w:pPr>
        <w:pStyle w:val="FootnoteText"/>
        <w:rPr>
          <w:rFonts w:ascii="Times New Roman" w:hAnsi="Times New Roman" w:cs="Times New Roman"/>
        </w:rPr>
      </w:pPr>
      <w:r w:rsidRPr="00D36371">
        <w:rPr>
          <w:rStyle w:val="FootnoteReference"/>
          <w:rFonts w:ascii="Times New Roman" w:hAnsi="Times New Roman" w:cs="Times New Roman"/>
        </w:rPr>
        <w:footnoteRef/>
      </w:r>
      <w:r w:rsidRPr="00D36371">
        <w:rPr>
          <w:rFonts w:ascii="Times New Roman" w:hAnsi="Times New Roman" w:cs="Times New Roman"/>
        </w:rPr>
        <w:t xml:space="preserve"> Found in the Government Accountability Office’s </w:t>
      </w:r>
      <w:r w:rsidR="00BE141C" w:rsidRPr="00D36371">
        <w:rPr>
          <w:rFonts w:ascii="Times New Roman" w:hAnsi="Times New Roman" w:cs="Times New Roman"/>
        </w:rPr>
        <w:t xml:space="preserve">(GAO) </w:t>
      </w:r>
      <w:r w:rsidRPr="00D36371">
        <w:rPr>
          <w:rFonts w:ascii="Times New Roman" w:hAnsi="Times New Roman" w:cs="Times New Roman"/>
        </w:rPr>
        <w:t>Government Auditing Standards (also known as the “Yellow Book”</w:t>
      </w:r>
      <w:r w:rsidR="00784FFA">
        <w:rPr>
          <w:rFonts w:ascii="Times New Roman" w:hAnsi="Times New Roman" w:cs="Times New Roman"/>
        </w:rPr>
        <w:t>)</w:t>
      </w:r>
      <w:r w:rsidRPr="00D36371">
        <w:rPr>
          <w:rFonts w:ascii="Times New Roman" w:hAnsi="Times New Roman" w:cs="Times New Roman"/>
        </w:rPr>
        <w:t xml:space="preserve"> available at </w:t>
      </w:r>
      <w:hyperlink r:id="rId1" w:history="1">
        <w:r w:rsidRPr="00D36371">
          <w:rPr>
            <w:rStyle w:val="Hyperlink"/>
            <w:rFonts w:ascii="Times New Roman" w:hAnsi="Times New Roman" w:cs="Times New Roman"/>
          </w:rPr>
          <w:t>https://www.gao.gov/products/GAO-18-568G</w:t>
        </w:r>
      </w:hyperlink>
    </w:p>
  </w:footnote>
  <w:footnote w:id="3">
    <w:p w14:paraId="707850B1" w14:textId="77777777" w:rsidR="00BE141C" w:rsidRPr="00D36371" w:rsidRDefault="00BE141C">
      <w:pPr>
        <w:pStyle w:val="FootnoteText"/>
        <w:rPr>
          <w:rFonts w:ascii="Times New Roman" w:hAnsi="Times New Roman" w:cs="Times New Roman"/>
        </w:rPr>
      </w:pPr>
      <w:r w:rsidRPr="00D36371">
        <w:rPr>
          <w:rStyle w:val="FootnoteReference"/>
          <w:rFonts w:ascii="Times New Roman" w:hAnsi="Times New Roman" w:cs="Times New Roman"/>
        </w:rPr>
        <w:footnoteRef/>
      </w:r>
      <w:r w:rsidRPr="00D36371">
        <w:rPr>
          <w:rFonts w:ascii="Times New Roman" w:hAnsi="Times New Roman" w:cs="Times New Roman"/>
        </w:rPr>
        <w:t xml:space="preserve"> See the GAO’s “Green Book on internal controls at </w:t>
      </w:r>
      <w:hyperlink r:id="rId2" w:history="1">
        <w:r w:rsidRPr="00D36371">
          <w:rPr>
            <w:rStyle w:val="Hyperlink"/>
            <w:rFonts w:ascii="Times New Roman" w:hAnsi="Times New Roman" w:cs="Times New Roman"/>
          </w:rPr>
          <w:t>https://www.gao.gov/greenbook/overview</w:t>
        </w:r>
      </w:hyperlink>
      <w:r w:rsidRPr="00D36371">
        <w:rPr>
          <w:rFonts w:ascii="Times New Roman" w:hAnsi="Times New Roman" w:cs="Times New Roman"/>
        </w:rPr>
        <w:t xml:space="preserve"> </w:t>
      </w:r>
    </w:p>
  </w:footnote>
  <w:footnote w:id="4">
    <w:p w14:paraId="52BC7981" w14:textId="77777777" w:rsidR="005C374F" w:rsidRPr="00D36371" w:rsidRDefault="005C374F" w:rsidP="00BA3E2C">
      <w:pPr>
        <w:pStyle w:val="FootnoteText"/>
        <w:rPr>
          <w:rFonts w:ascii="Times New Roman" w:hAnsi="Times New Roman" w:cs="Times New Roman"/>
        </w:rPr>
      </w:pPr>
      <w:r w:rsidRPr="00D36371">
        <w:rPr>
          <w:rStyle w:val="FootnoteReference"/>
          <w:rFonts w:ascii="Times New Roman" w:hAnsi="Times New Roman" w:cs="Times New Roman"/>
        </w:rPr>
        <w:footnoteRef/>
      </w:r>
      <w:r w:rsidRPr="00D36371">
        <w:rPr>
          <w:rFonts w:ascii="Times New Roman" w:hAnsi="Times New Roman" w:cs="Times New Roman"/>
        </w:rPr>
        <w:t xml:space="preserve"> For more information on Impact Aid see </w:t>
      </w:r>
      <w:hyperlink r:id="rId3" w:history="1">
        <w:r w:rsidR="00BA3E2C" w:rsidRPr="00D36371">
          <w:rPr>
            <w:rStyle w:val="Hyperlink"/>
            <w:rFonts w:ascii="Times New Roman" w:hAnsi="Times New Roman" w:cs="Times New Roman"/>
          </w:rPr>
          <w:t>https://oese.ed.gov/offices/office-of-formula-grants/impact-aid-program/</w:t>
        </w:r>
      </w:hyperlink>
    </w:p>
  </w:footnote>
  <w:footnote w:id="5">
    <w:p w14:paraId="4524C3CB" w14:textId="2220795B" w:rsidR="00A44685" w:rsidRDefault="00A44685">
      <w:pPr>
        <w:pStyle w:val="FootnoteText"/>
      </w:pPr>
      <w:r w:rsidRPr="00D36371">
        <w:rPr>
          <w:rStyle w:val="FootnoteReference"/>
          <w:rFonts w:ascii="Times New Roman" w:hAnsi="Times New Roman" w:cs="Times New Roman"/>
        </w:rPr>
        <w:footnoteRef/>
      </w:r>
      <w:r w:rsidRPr="00D36371">
        <w:rPr>
          <w:rFonts w:ascii="Times New Roman" w:hAnsi="Times New Roman" w:cs="Times New Roman"/>
        </w:rPr>
        <w:t xml:space="preserve"> The Department’s Impact Aid regulations are available at </w:t>
      </w:r>
      <w:hyperlink r:id="rId4" w:history="1">
        <w:r w:rsidRPr="00D36371">
          <w:rPr>
            <w:rStyle w:val="Hyperlink"/>
            <w:rFonts w:ascii="Times New Roman" w:hAnsi="Times New Roman" w:cs="Times New Roman"/>
          </w:rPr>
          <w:t>https://www.ecfr.gov/cgi-bin/retrieveECFR?gp=&amp;SID=c2c0bd209d014a3032ea5c555c11b74b&amp;mc=true&amp;n=pt34.1.222&amp;r=PART&amp;ty=HTML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C0230"/>
    <w:multiLevelType w:val="hybridMultilevel"/>
    <w:tmpl w:val="532AD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23350"/>
    <w:multiLevelType w:val="hybridMultilevel"/>
    <w:tmpl w:val="FA680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DA"/>
    <w:rsid w:val="00037BEF"/>
    <w:rsid w:val="00125F7D"/>
    <w:rsid w:val="00171F5A"/>
    <w:rsid w:val="001A156E"/>
    <w:rsid w:val="002A2A60"/>
    <w:rsid w:val="0038320E"/>
    <w:rsid w:val="003A7022"/>
    <w:rsid w:val="00492EB0"/>
    <w:rsid w:val="00583266"/>
    <w:rsid w:val="00583F52"/>
    <w:rsid w:val="005912ED"/>
    <w:rsid w:val="005C374F"/>
    <w:rsid w:val="006A459D"/>
    <w:rsid w:val="006A52B6"/>
    <w:rsid w:val="00762972"/>
    <w:rsid w:val="00777CDA"/>
    <w:rsid w:val="00784FFA"/>
    <w:rsid w:val="009269E1"/>
    <w:rsid w:val="0098670F"/>
    <w:rsid w:val="00A44685"/>
    <w:rsid w:val="00AB60B6"/>
    <w:rsid w:val="00B8218C"/>
    <w:rsid w:val="00BA3E2C"/>
    <w:rsid w:val="00BA66EA"/>
    <w:rsid w:val="00BE141C"/>
    <w:rsid w:val="00BE25EF"/>
    <w:rsid w:val="00BE2F0B"/>
    <w:rsid w:val="00C05BB1"/>
    <w:rsid w:val="00C77AD2"/>
    <w:rsid w:val="00D36371"/>
    <w:rsid w:val="00E86D84"/>
    <w:rsid w:val="00E94150"/>
    <w:rsid w:val="00EB25AB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B5A6"/>
  <w15:chartTrackingRefBased/>
  <w15:docId w15:val="{A7D6E2A3-0C9F-4D2C-A9F7-12710AED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A4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45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5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45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E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about/offices/list/oig/nonfed/singleaudit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ese.ed.gov/offices/office-of-formula-grants/impact-aid-program/" TargetMode="External"/><Relationship Id="rId2" Type="http://schemas.openxmlformats.org/officeDocument/2006/relationships/hyperlink" Target="https://www.gao.gov/greenbook/overview" TargetMode="External"/><Relationship Id="rId1" Type="http://schemas.openxmlformats.org/officeDocument/2006/relationships/hyperlink" Target="https://www.gao.gov/products/GAO-18-568G" TargetMode="External"/><Relationship Id="rId4" Type="http://schemas.openxmlformats.org/officeDocument/2006/relationships/hyperlink" Target="https://www.ecfr.gov/cgi-bin/retrieveECFR?gp=&amp;SID=c2c0bd209d014a3032ea5c555c11b74b&amp;mc=true&amp;n=pt34.1.222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8DE3-EF2F-4A1B-8688-CCB6D309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Schreier, Daniel</dc:creator>
  <cp:keywords/>
  <dc:description/>
  <cp:lastModifiedBy>Casey, Debbie</cp:lastModifiedBy>
  <cp:revision>2</cp:revision>
  <dcterms:created xsi:type="dcterms:W3CDTF">2020-06-09T11:50:00Z</dcterms:created>
  <dcterms:modified xsi:type="dcterms:W3CDTF">2020-06-09T11:50:00Z</dcterms:modified>
</cp:coreProperties>
</file>